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4C1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0"/>
        <w:jc w:val="center"/>
        <w:textAlignment w:val="baseline"/>
        <w:rPr>
          <w:rFonts w:hint="eastAsia" w:ascii="微软雅黑" w:hAnsi="微软雅黑" w:eastAsia="微软雅黑" w:cs="微软雅黑"/>
          <w:i w:val="0"/>
          <w:iCs w:val="0"/>
          <w:caps w:val="0"/>
          <w:color w:val="333333"/>
          <w:spacing w:val="0"/>
          <w:sz w:val="21"/>
          <w:szCs w:val="21"/>
        </w:rPr>
      </w:pPr>
      <w:r>
        <w:rPr>
          <w:rFonts w:hint="eastAsia"/>
          <w:lang w:val="en-US" w:eastAsia="zh-CN"/>
        </w:rPr>
        <w:t xml:space="preserve">  </w:t>
      </w:r>
      <w:r>
        <w:rPr>
          <w:rFonts w:hint="eastAsia" w:ascii="方正小标宋_GBK" w:hAnsi="方正小标宋_GBK" w:eastAsia="方正小标宋_GBK" w:cs="方正小标宋_GBK"/>
          <w:i w:val="0"/>
          <w:iCs w:val="0"/>
          <w:caps w:val="0"/>
          <w:color w:val="333333"/>
          <w:spacing w:val="75"/>
          <w:sz w:val="84"/>
          <w:szCs w:val="84"/>
          <w:shd w:val="clear" w:fill="FFFFFF"/>
          <w:vertAlign w:val="baseline"/>
        </w:rPr>
        <w:t> </w:t>
      </w:r>
    </w:p>
    <w:p w14:paraId="502CF9E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0"/>
        <w:jc w:val="center"/>
        <w:textAlignment w:val="baseline"/>
        <w:rPr>
          <w:rFonts w:hint="eastAsia" w:ascii="微软雅黑" w:hAnsi="微软雅黑" w:eastAsia="微软雅黑" w:cs="微软雅黑"/>
          <w:i w:val="0"/>
          <w:iCs w:val="0"/>
          <w:caps w:val="0"/>
          <w:color w:val="000000" w:themeColor="text1"/>
          <w:spacing w:val="0"/>
          <w:sz w:val="21"/>
          <w:szCs w:val="21"/>
          <w14:textFill>
            <w14:solidFill>
              <w14:schemeClr w14:val="tx1"/>
            </w14:solidFill>
          </w14:textFill>
        </w:rPr>
      </w:pPr>
      <w:r>
        <w:rPr>
          <w:rFonts w:hint="eastAsia" w:ascii="方正小标宋_GBK" w:hAnsi="方正小标宋_GBK" w:eastAsia="方正小标宋_GBK" w:cs="方正小标宋_GBK"/>
          <w:i w:val="0"/>
          <w:iCs w:val="0"/>
          <w:caps w:val="0"/>
          <w:color w:val="000000" w:themeColor="text1"/>
          <w:spacing w:val="75"/>
          <w:sz w:val="84"/>
          <w:szCs w:val="84"/>
          <w:shd w:val="clear" w:fill="FFFFFF"/>
          <w:vertAlign w:val="baseline"/>
          <w14:textFill>
            <w14:solidFill>
              <w14:schemeClr w14:val="tx1"/>
            </w14:solidFill>
          </w14:textFill>
        </w:rPr>
        <w:t>采购文件</w:t>
      </w:r>
    </w:p>
    <w:p w14:paraId="5549355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705" w:lineRule="atLeast"/>
        <w:ind w:left="0" w:right="0" w:firstLine="0"/>
        <w:jc w:val="center"/>
        <w:textAlignment w:val="baseline"/>
        <w:rPr>
          <w:rFonts w:hint="eastAsia" w:ascii="微软雅黑" w:hAnsi="微软雅黑" w:eastAsia="微软雅黑" w:cs="微软雅黑"/>
          <w:i w:val="0"/>
          <w:iCs w:val="0"/>
          <w:caps w:val="0"/>
          <w:color w:val="000000" w:themeColor="text1"/>
          <w:spacing w:val="0"/>
          <w:sz w:val="21"/>
          <w:szCs w:val="21"/>
          <w14:textFill>
            <w14:solidFill>
              <w14:schemeClr w14:val="tx1"/>
            </w14:solidFill>
          </w14:textFill>
        </w:rPr>
      </w:pPr>
      <w:r>
        <w:rPr>
          <w:rFonts w:ascii="黑体" w:hAnsi="宋体" w:eastAsia="黑体" w:cs="黑体"/>
          <w:i w:val="0"/>
          <w:iCs w:val="0"/>
          <w:caps w:val="0"/>
          <w:color w:val="000000" w:themeColor="text1"/>
          <w:spacing w:val="0"/>
          <w:sz w:val="31"/>
          <w:szCs w:val="31"/>
          <w:shd w:val="clear" w:fill="FFFFFF"/>
          <w:vertAlign w:val="baseline"/>
          <w14:textFill>
            <w14:solidFill>
              <w14:schemeClr w14:val="tx1"/>
            </w14:solidFill>
          </w14:textFill>
        </w:rPr>
        <w:t> </w:t>
      </w:r>
    </w:p>
    <w:p w14:paraId="228739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705" w:lineRule="atLeast"/>
        <w:ind w:left="0" w:right="0" w:firstLine="0"/>
        <w:jc w:val="center"/>
        <w:textAlignment w:val="baseline"/>
        <w:rPr>
          <w:rFonts w:hint="eastAsia" w:ascii="微软雅黑" w:hAnsi="微软雅黑" w:eastAsia="微软雅黑" w:cs="微软雅黑"/>
          <w:i w:val="0"/>
          <w:iCs w:val="0"/>
          <w:caps w:val="0"/>
          <w:color w:val="000000" w:themeColor="text1"/>
          <w:spacing w:val="0"/>
          <w:sz w:val="21"/>
          <w:szCs w:val="21"/>
          <w14:textFill>
            <w14:solidFill>
              <w14:schemeClr w14:val="tx1"/>
            </w14:solidFill>
          </w14:textFill>
        </w:rPr>
      </w:pPr>
      <w:r>
        <w:rPr>
          <w:rFonts w:hint="eastAsia" w:ascii="黑体" w:hAnsi="宋体" w:eastAsia="黑体" w:cs="黑体"/>
          <w:i w:val="0"/>
          <w:iCs w:val="0"/>
          <w:caps w:val="0"/>
          <w:color w:val="000000" w:themeColor="text1"/>
          <w:spacing w:val="0"/>
          <w:sz w:val="31"/>
          <w:szCs w:val="31"/>
          <w:shd w:val="clear" w:fill="FFFFFF"/>
          <w:vertAlign w:val="baseline"/>
          <w14:textFill>
            <w14:solidFill>
              <w14:schemeClr w14:val="tx1"/>
            </w14:solidFill>
          </w14:textFill>
        </w:rPr>
        <w:t> </w:t>
      </w:r>
    </w:p>
    <w:p w14:paraId="06D1A8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705" w:lineRule="atLeast"/>
        <w:ind w:left="0" w:right="0" w:firstLine="1080"/>
        <w:textAlignment w:val="baseline"/>
        <w:rPr>
          <w:rFonts w:hint="eastAsia" w:ascii="微软雅黑" w:hAnsi="微软雅黑" w:eastAsia="微软雅黑" w:cs="微软雅黑"/>
          <w:i w:val="0"/>
          <w:iCs w:val="0"/>
          <w:caps w:val="0"/>
          <w:color w:val="000000" w:themeColor="text1"/>
          <w:spacing w:val="0"/>
          <w:sz w:val="21"/>
          <w:szCs w:val="21"/>
          <w14:textFill>
            <w14:solidFill>
              <w14:schemeClr w14:val="tx1"/>
            </w14:solidFill>
          </w14:textFill>
        </w:rPr>
      </w:pPr>
      <w:r>
        <w:rPr>
          <w:rFonts w:hint="eastAsia" w:ascii="宋体" w:hAnsi="宋体" w:eastAsia="宋体" w:cs="宋体"/>
          <w:i w:val="0"/>
          <w:iCs w:val="0"/>
          <w:caps w:val="0"/>
          <w:color w:val="000000" w:themeColor="text1"/>
          <w:spacing w:val="0"/>
          <w:sz w:val="36"/>
          <w:szCs w:val="36"/>
          <w:shd w:val="clear" w:fill="FFFFFF"/>
          <w:vertAlign w:val="baseline"/>
          <w14:textFill>
            <w14:solidFill>
              <w14:schemeClr w14:val="tx1"/>
            </w14:solidFill>
          </w14:textFill>
        </w:rPr>
        <w:t> </w:t>
      </w:r>
    </w:p>
    <w:p w14:paraId="09BFEB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705" w:lineRule="atLeast"/>
        <w:ind w:right="0"/>
        <w:textAlignment w:val="baseline"/>
        <w:rPr>
          <w:rFonts w:hint="default" w:ascii="方正仿宋_GBK" w:hAnsi="方正仿宋_GBK" w:eastAsia="方正仿宋_GBK" w:cs="方正仿宋_GBK"/>
          <w:i w:val="0"/>
          <w:iCs w:val="0"/>
          <w:caps w:val="0"/>
          <w:color w:val="000000" w:themeColor="text1"/>
          <w:spacing w:val="0"/>
          <w:sz w:val="28"/>
          <w:szCs w:val="28"/>
          <w:u w:val="single"/>
          <w:shd w:val="clear" w:fill="FFFFFF"/>
          <w:vertAlign w:val="baseline"/>
          <w:lang w:val="en-US" w:eastAsia="zh-CN"/>
          <w14:textFill>
            <w14:solidFill>
              <w14:schemeClr w14:val="tx1"/>
            </w14:solidFill>
          </w14:textFill>
        </w:rPr>
      </w:pPr>
      <w:r>
        <w:rPr>
          <w:rFonts w:hint="eastAsia" w:ascii="方正黑体简体" w:hAnsi="方正黑体简体" w:eastAsia="方正黑体简体" w:cs="方正黑体简体"/>
          <w:i w:val="0"/>
          <w:iCs w:val="0"/>
          <w:caps w:val="0"/>
          <w:color w:val="000000" w:themeColor="text1"/>
          <w:spacing w:val="0"/>
          <w:sz w:val="36"/>
          <w:szCs w:val="36"/>
          <w:shd w:val="clear" w:fill="FFFFFF"/>
          <w:vertAlign w:val="baseline"/>
          <w14:textFill>
            <w14:solidFill>
              <w14:schemeClr w14:val="tx1"/>
            </w14:solidFill>
          </w14:textFill>
        </w:rPr>
        <w:t>项目名称：</w:t>
      </w:r>
      <w:r>
        <w:rPr>
          <w:rFonts w:hint="eastAsia" w:ascii="方正仿宋_GBK" w:hAnsi="方正仿宋_GBK" w:eastAsia="方正仿宋_GBK" w:cs="方正仿宋_GBK"/>
          <w:i w:val="0"/>
          <w:iCs w:val="0"/>
          <w:caps w:val="0"/>
          <w:color w:val="000000" w:themeColor="text1"/>
          <w:spacing w:val="0"/>
          <w:sz w:val="28"/>
          <w:szCs w:val="28"/>
          <w:u w:val="single"/>
          <w:shd w:val="clear" w:fill="FFFFFF"/>
          <w:vertAlign w:val="baseline"/>
          <w:lang w:val="en-US" w:eastAsia="zh-CN"/>
          <w14:textFill>
            <w14:solidFill>
              <w14:schemeClr w14:val="tx1"/>
            </w14:solidFill>
          </w14:textFill>
        </w:rPr>
        <w:t>2026年“全国药品安全宣传周”——携手共建药品安全防线活动重庆轨道交通9号线环绕数字屏、PIS视频</w:t>
      </w:r>
    </w:p>
    <w:p w14:paraId="4A050C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705" w:lineRule="atLeast"/>
        <w:ind w:right="0"/>
        <w:textAlignment w:val="baseline"/>
        <w:rPr>
          <w:rFonts w:hint="eastAsia" w:ascii="方正仿宋_GBK" w:hAnsi="方正仿宋_GBK" w:eastAsia="方正仿宋_GBK" w:cs="方正仿宋_GBK"/>
          <w:i w:val="0"/>
          <w:iCs w:val="0"/>
          <w:caps w:val="0"/>
          <w:color w:val="000000" w:themeColor="text1"/>
          <w:spacing w:val="0"/>
          <w:sz w:val="28"/>
          <w:szCs w:val="28"/>
          <w:u w:val="single"/>
          <w:shd w:val="clear" w:fill="FFFFFF"/>
          <w:vertAlign w:val="baseline"/>
          <w:lang w:val="en-US" w:eastAsia="zh-CN"/>
          <w14:textFill>
            <w14:solidFill>
              <w14:schemeClr w14:val="tx1"/>
            </w14:solidFill>
          </w14:textFill>
        </w:rPr>
      </w:pPr>
    </w:p>
    <w:p w14:paraId="216062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705" w:lineRule="atLeast"/>
        <w:ind w:right="0"/>
        <w:textAlignment w:val="baseline"/>
        <w:rPr>
          <w:rFonts w:hint="eastAsia" w:ascii="微软雅黑" w:hAnsi="微软雅黑" w:eastAsia="微软雅黑" w:cs="微软雅黑"/>
          <w:i w:val="0"/>
          <w:iCs w:val="0"/>
          <w:caps w:val="0"/>
          <w:color w:val="000000" w:themeColor="text1"/>
          <w:spacing w:val="0"/>
          <w:sz w:val="21"/>
          <w:szCs w:val="21"/>
          <w14:textFill>
            <w14:solidFill>
              <w14:schemeClr w14:val="tx1"/>
            </w14:solidFill>
          </w14:textFill>
        </w:rPr>
      </w:pPr>
      <w:r>
        <w:rPr>
          <w:rFonts w:hint="eastAsia" w:ascii="方正黑体简体" w:hAnsi="方正黑体简体" w:eastAsia="方正黑体简体" w:cs="方正黑体简体"/>
          <w:i w:val="0"/>
          <w:iCs w:val="0"/>
          <w:caps w:val="0"/>
          <w:color w:val="000000" w:themeColor="text1"/>
          <w:spacing w:val="0"/>
          <w:sz w:val="36"/>
          <w:szCs w:val="36"/>
          <w:shd w:val="clear" w:fill="FFFFFF"/>
          <w:vertAlign w:val="baseline"/>
          <w14:textFill>
            <w14:solidFill>
              <w14:schemeClr w14:val="tx1"/>
            </w14:solidFill>
          </w14:textFill>
        </w:rPr>
        <w:t>采购人： </w:t>
      </w:r>
      <w:r>
        <w:rPr>
          <w:rFonts w:hint="eastAsia" w:ascii="方正仿宋_GBK" w:hAnsi="方正仿宋_GBK" w:eastAsia="方正仿宋_GBK" w:cs="方正仿宋_GBK"/>
          <w:i w:val="0"/>
          <w:iCs w:val="0"/>
          <w:caps w:val="0"/>
          <w:color w:val="000000" w:themeColor="text1"/>
          <w:spacing w:val="0"/>
          <w:sz w:val="28"/>
          <w:szCs w:val="28"/>
          <w:u w:val="single"/>
          <w:shd w:val="clear" w:fill="FFFFFF"/>
          <w:vertAlign w:val="baseline"/>
          <w14:textFill>
            <w14:solidFill>
              <w14:schemeClr w14:val="tx1"/>
            </w14:solidFill>
          </w14:textFill>
        </w:rPr>
        <w:t>重庆市药品不良反应监测中心</w:t>
      </w:r>
    </w:p>
    <w:p w14:paraId="67153E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705" w:lineRule="atLeast"/>
        <w:ind w:left="0" w:right="0" w:firstLine="0"/>
        <w:jc w:val="center"/>
        <w:textAlignment w:val="baseline"/>
        <w:rPr>
          <w:rFonts w:hint="eastAsia" w:ascii="微软雅黑" w:hAnsi="微软雅黑" w:eastAsia="微软雅黑" w:cs="微软雅黑"/>
          <w:i w:val="0"/>
          <w:iCs w:val="0"/>
          <w:caps w:val="0"/>
          <w:color w:val="000000" w:themeColor="text1"/>
          <w:spacing w:val="0"/>
          <w:sz w:val="21"/>
          <w:szCs w:val="21"/>
          <w14:textFill>
            <w14:solidFill>
              <w14:schemeClr w14:val="tx1"/>
            </w14:solidFill>
          </w14:textFill>
        </w:rPr>
      </w:pPr>
      <w:r>
        <w:rPr>
          <w:rStyle w:val="5"/>
          <w:rFonts w:hint="eastAsia" w:ascii="宋体" w:hAnsi="宋体" w:eastAsia="宋体" w:cs="宋体"/>
          <w:b/>
          <w:bCs/>
          <w:i w:val="0"/>
          <w:iCs w:val="0"/>
          <w:caps w:val="0"/>
          <w:color w:val="000000" w:themeColor="text1"/>
          <w:spacing w:val="0"/>
          <w:sz w:val="30"/>
          <w:szCs w:val="30"/>
          <w:shd w:val="clear" w:fill="FFFFFF"/>
          <w:vertAlign w:val="baseline"/>
          <w14:textFill>
            <w14:solidFill>
              <w14:schemeClr w14:val="tx1"/>
            </w14:solidFill>
          </w14:textFill>
        </w:rPr>
        <w:t>  </w:t>
      </w:r>
    </w:p>
    <w:p w14:paraId="3841A3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right="0" w:firstLine="1440" w:firstLineChars="400"/>
        <w:textAlignment w:val="baseline"/>
        <w:rPr>
          <w:rFonts w:hint="eastAsia" w:ascii="微软雅黑" w:hAnsi="微软雅黑" w:eastAsia="微软雅黑" w:cs="微软雅黑"/>
          <w:i w:val="0"/>
          <w:iCs w:val="0"/>
          <w:caps w:val="0"/>
          <w:color w:val="000000" w:themeColor="text1"/>
          <w:spacing w:val="0"/>
          <w:sz w:val="21"/>
          <w:szCs w:val="21"/>
          <w14:textFill>
            <w14:solidFill>
              <w14:schemeClr w14:val="tx1"/>
            </w14:solidFill>
          </w14:textFill>
        </w:rPr>
      </w:pPr>
      <w:r>
        <w:rPr>
          <w:rFonts w:ascii="方正楷体简体" w:hAnsi="方正楷体简体" w:eastAsia="方正楷体简体" w:cs="方正楷体简体"/>
          <w:i w:val="0"/>
          <w:iCs w:val="0"/>
          <w:caps w:val="0"/>
          <w:color w:val="000000" w:themeColor="text1"/>
          <w:spacing w:val="0"/>
          <w:sz w:val="36"/>
          <w:szCs w:val="36"/>
          <w:shd w:val="clear" w:fill="FFFFFF"/>
          <w:vertAlign w:val="baseline"/>
          <w14:textFill>
            <w14:solidFill>
              <w14:schemeClr w14:val="tx1"/>
            </w14:solidFill>
          </w14:textFill>
        </w:rPr>
        <w:t>重庆市药品不良反应监测中心</w:t>
      </w:r>
      <w:r>
        <w:rPr>
          <w:rFonts w:hint="eastAsia" w:ascii="方正楷体简体" w:hAnsi="方正楷体简体" w:eastAsia="方正楷体简体" w:cs="方正楷体简体"/>
          <w:i w:val="0"/>
          <w:iCs w:val="0"/>
          <w:caps w:val="0"/>
          <w:color w:val="000000" w:themeColor="text1"/>
          <w:spacing w:val="0"/>
          <w:sz w:val="36"/>
          <w:szCs w:val="36"/>
          <w:shd w:val="clear" w:fill="FFFFFF"/>
          <w:vertAlign w:val="baseline"/>
          <w14:textFill>
            <w14:solidFill>
              <w14:schemeClr w14:val="tx1"/>
            </w14:solidFill>
          </w14:textFill>
        </w:rPr>
        <w:t>  制</w:t>
      </w:r>
    </w:p>
    <w:p w14:paraId="58A77D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0"/>
        <w:jc w:val="center"/>
        <w:textAlignment w:val="baseline"/>
        <w:rPr>
          <w:rFonts w:hint="eastAsia" w:ascii="微软雅黑" w:hAnsi="微软雅黑" w:eastAsia="微软雅黑" w:cs="微软雅黑"/>
          <w:i w:val="0"/>
          <w:iCs w:val="0"/>
          <w:caps w:val="0"/>
          <w:color w:val="000000" w:themeColor="text1"/>
          <w:spacing w:val="0"/>
          <w:sz w:val="21"/>
          <w:szCs w:val="21"/>
          <w14:textFill>
            <w14:solidFill>
              <w14:schemeClr w14:val="tx1"/>
            </w14:solidFill>
          </w14:textFill>
        </w:rPr>
      </w:pPr>
      <w:r>
        <w:rPr>
          <w:rFonts w:hint="eastAsia" w:ascii="方正楷体简体" w:hAnsi="方正楷体简体" w:eastAsia="方正楷体简体" w:cs="方正楷体简体"/>
          <w:i w:val="0"/>
          <w:iCs w:val="0"/>
          <w:caps w:val="0"/>
          <w:color w:val="000000" w:themeColor="text1"/>
          <w:spacing w:val="0"/>
          <w:sz w:val="36"/>
          <w:szCs w:val="36"/>
          <w:shd w:val="clear" w:fill="FFFFFF"/>
          <w:vertAlign w:val="baseline"/>
          <w14:textFill>
            <w14:solidFill>
              <w14:schemeClr w14:val="tx1"/>
            </w14:solidFill>
          </w14:textFill>
        </w:rPr>
        <w:t> </w:t>
      </w:r>
    </w:p>
    <w:p w14:paraId="1A0D73F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600" w:lineRule="atLeast"/>
        <w:ind w:left="0" w:right="0" w:firstLine="0"/>
        <w:jc w:val="center"/>
        <w:textAlignment w:val="baseline"/>
        <w:rPr>
          <w:rFonts w:hint="eastAsia" w:ascii="微软雅黑" w:hAnsi="微软雅黑" w:eastAsia="微软雅黑" w:cs="微软雅黑"/>
          <w:i w:val="0"/>
          <w:iCs w:val="0"/>
          <w:caps w:val="0"/>
          <w:color w:val="000000" w:themeColor="text1"/>
          <w:spacing w:val="0"/>
          <w:sz w:val="21"/>
          <w:szCs w:val="21"/>
          <w14:textFill>
            <w14:solidFill>
              <w14:schemeClr w14:val="tx1"/>
            </w14:solidFill>
          </w14:textFill>
        </w:rPr>
      </w:pPr>
      <w:r>
        <w:rPr>
          <w:rFonts w:hint="eastAsia" w:ascii="方正楷体简体" w:hAnsi="方正楷体简体" w:eastAsia="方正楷体简体" w:cs="方正楷体简体"/>
          <w:i w:val="0"/>
          <w:iCs w:val="0"/>
          <w:caps w:val="0"/>
          <w:color w:val="000000" w:themeColor="text1"/>
          <w:spacing w:val="0"/>
          <w:sz w:val="36"/>
          <w:szCs w:val="36"/>
          <w:shd w:val="clear" w:fill="FFFFFF"/>
          <w:vertAlign w:val="baseline"/>
          <w14:textFill>
            <w14:solidFill>
              <w14:schemeClr w14:val="tx1"/>
            </w14:solidFill>
          </w14:textFill>
        </w:rPr>
        <w:t>2026年0</w:t>
      </w:r>
      <w:r>
        <w:rPr>
          <w:rFonts w:hint="eastAsia" w:ascii="方正楷体简体" w:hAnsi="方正楷体简体" w:eastAsia="方正楷体简体" w:cs="方正楷体简体"/>
          <w:i w:val="0"/>
          <w:iCs w:val="0"/>
          <w:caps w:val="0"/>
          <w:color w:val="000000" w:themeColor="text1"/>
          <w:spacing w:val="0"/>
          <w:sz w:val="36"/>
          <w:szCs w:val="36"/>
          <w:shd w:val="clear" w:fill="FFFFFF"/>
          <w:vertAlign w:val="baseline"/>
          <w:lang w:val="en-US" w:eastAsia="zh-CN"/>
          <w14:textFill>
            <w14:solidFill>
              <w14:schemeClr w14:val="tx1"/>
            </w14:solidFill>
          </w14:textFill>
        </w:rPr>
        <w:t>8</w:t>
      </w:r>
      <w:r>
        <w:rPr>
          <w:rFonts w:hint="eastAsia" w:ascii="方正楷体简体" w:hAnsi="方正楷体简体" w:eastAsia="方正楷体简体" w:cs="方正楷体简体"/>
          <w:i w:val="0"/>
          <w:iCs w:val="0"/>
          <w:caps w:val="0"/>
          <w:color w:val="000000" w:themeColor="text1"/>
          <w:spacing w:val="0"/>
          <w:sz w:val="36"/>
          <w:szCs w:val="36"/>
          <w:shd w:val="clear" w:fill="FFFFFF"/>
          <w:vertAlign w:val="baseline"/>
          <w14:textFill>
            <w14:solidFill>
              <w14:schemeClr w14:val="tx1"/>
            </w14:solidFill>
          </w14:textFill>
        </w:rPr>
        <w:t>月</w:t>
      </w:r>
    </w:p>
    <w:p w14:paraId="4A26A37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405" w:lineRule="atLeast"/>
        <w:ind w:left="0" w:right="0" w:firstLine="0"/>
        <w:jc w:val="center"/>
        <w:textAlignment w:val="baseline"/>
        <w:rPr>
          <w:rFonts w:hint="eastAsia" w:ascii="方正黑体_GBK" w:hAnsi="方正黑体_GBK" w:eastAsia="方正黑体_GBK" w:cs="方正黑体_GBK"/>
          <w:i w:val="0"/>
          <w:iCs w:val="0"/>
          <w:caps w:val="0"/>
          <w:color w:val="000000" w:themeColor="text1"/>
          <w:spacing w:val="0"/>
          <w:sz w:val="31"/>
          <w:szCs w:val="31"/>
          <w:shd w:val="clear" w:fill="FFFFFF"/>
          <w:vertAlign w:val="baseline"/>
          <w14:textFill>
            <w14:solidFill>
              <w14:schemeClr w14:val="tx1"/>
            </w14:solidFill>
          </w14:textFill>
        </w:rPr>
        <w:sectPr>
          <w:pgSz w:w="11906" w:h="16838"/>
          <w:pgMar w:top="1440" w:right="1800" w:bottom="1440" w:left="1800" w:header="851" w:footer="992" w:gutter="0"/>
          <w:cols w:space="425" w:num="1"/>
          <w:docGrid w:type="lines" w:linePitch="312" w:charSpace="0"/>
        </w:sectPr>
      </w:pPr>
      <w:bookmarkStart w:id="0" w:name="_Toc102227314"/>
      <w:bookmarkEnd w:id="0"/>
      <w:bookmarkStart w:id="1" w:name="_Toc179714294"/>
      <w:bookmarkEnd w:id="1"/>
      <w:bookmarkStart w:id="2" w:name="_Toc317154758"/>
      <w:bookmarkEnd w:id="2"/>
    </w:p>
    <w:p w14:paraId="47746A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405" w:lineRule="atLeast"/>
        <w:ind w:left="0" w:right="0" w:firstLine="0"/>
        <w:jc w:val="center"/>
        <w:textAlignment w:val="baseline"/>
        <w:rPr>
          <w:rFonts w:hint="eastAsia" w:ascii="微软雅黑" w:hAnsi="微软雅黑" w:eastAsia="微软雅黑" w:cs="微软雅黑"/>
          <w:i w:val="0"/>
          <w:iCs w:val="0"/>
          <w:caps w:val="0"/>
          <w:color w:val="000000" w:themeColor="text1"/>
          <w:spacing w:val="0"/>
          <w:sz w:val="21"/>
          <w:szCs w:val="21"/>
          <w14:textFill>
            <w14:solidFill>
              <w14:schemeClr w14:val="tx1"/>
            </w14:solidFill>
          </w14:textFill>
        </w:rPr>
      </w:pPr>
      <w:r>
        <w:rPr>
          <w:rFonts w:hint="eastAsia" w:ascii="方正黑体_GBK" w:hAnsi="方正黑体_GBK" w:eastAsia="方正黑体_GBK" w:cs="方正黑体_GBK"/>
          <w:i w:val="0"/>
          <w:iCs w:val="0"/>
          <w:caps w:val="0"/>
          <w:color w:val="000000" w:themeColor="text1"/>
          <w:spacing w:val="0"/>
          <w:sz w:val="31"/>
          <w:szCs w:val="31"/>
          <w:shd w:val="clear" w:fill="FFFFFF"/>
          <w:vertAlign w:val="baseline"/>
          <w14:textFill>
            <w14:solidFill>
              <w14:schemeClr w14:val="tx1"/>
            </w14:solidFill>
          </w14:textFill>
        </w:rPr>
        <w:t>第一篇    项目需求</w:t>
      </w:r>
    </w:p>
    <w:p w14:paraId="7DF45C4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405" w:lineRule="atLeast"/>
        <w:ind w:left="0" w:right="0" w:firstLine="0"/>
        <w:jc w:val="center"/>
        <w:textAlignment w:val="baseline"/>
        <w:rPr>
          <w:rFonts w:hint="eastAsia" w:ascii="微软雅黑" w:hAnsi="微软雅黑" w:eastAsia="微软雅黑" w:cs="微软雅黑"/>
          <w:i w:val="0"/>
          <w:iCs w:val="0"/>
          <w:caps w:val="0"/>
          <w:color w:val="000000" w:themeColor="text1"/>
          <w:spacing w:val="0"/>
          <w:sz w:val="21"/>
          <w:szCs w:val="21"/>
          <w14:textFill>
            <w14:solidFill>
              <w14:schemeClr w14:val="tx1"/>
            </w14:solidFill>
          </w14:textFill>
        </w:rPr>
      </w:pPr>
      <w:r>
        <w:rPr>
          <w:rFonts w:hint="eastAsia" w:ascii="方正黑体_GBK" w:hAnsi="方正黑体_GBK" w:eastAsia="方正黑体_GBK" w:cs="方正黑体_GBK"/>
          <w:i w:val="0"/>
          <w:iCs w:val="0"/>
          <w:caps w:val="0"/>
          <w:color w:val="000000" w:themeColor="text1"/>
          <w:spacing w:val="0"/>
          <w:sz w:val="31"/>
          <w:szCs w:val="31"/>
          <w:shd w:val="clear" w:fill="FFFFFF"/>
          <w:vertAlign w:val="baseline"/>
          <w14:textFill>
            <w14:solidFill>
              <w14:schemeClr w14:val="tx1"/>
            </w14:solidFill>
          </w14:textFill>
        </w:rPr>
        <w:t> </w:t>
      </w:r>
    </w:p>
    <w:p w14:paraId="4170E352">
      <w:pPr>
        <w:adjustRightInd w:val="0"/>
        <w:snapToGrid w:val="0"/>
        <w:spacing w:line="400" w:lineRule="exact"/>
        <w:ind w:firstLine="560" w:firstLineChars="200"/>
        <w:rPr>
          <w:rFonts w:hint="default" w:ascii="方正仿宋_GBK" w:hAnsi="宋体" w:eastAsia="方正仿宋_GBK"/>
          <w:color w:val="auto"/>
          <w:sz w:val="28"/>
          <w:szCs w:val="28"/>
          <w:lang w:val="en-US"/>
        </w:rPr>
      </w:pPr>
      <w:r>
        <w:rPr>
          <w:rFonts w:hint="eastAsia" w:ascii="方正黑体简体" w:hAnsi="方正黑体简体" w:eastAsia="方正黑体简体" w:cs="方正黑体简体"/>
          <w:i w:val="0"/>
          <w:iCs w:val="0"/>
          <w:caps w:val="0"/>
          <w:color w:val="000000" w:themeColor="text1"/>
          <w:spacing w:val="0"/>
          <w:kern w:val="0"/>
          <w:sz w:val="28"/>
          <w:szCs w:val="28"/>
          <w:shd w:val="clear" w:fill="FFFFFF"/>
          <w:vertAlign w:val="baseline"/>
          <w:lang w:val="en-US" w:eastAsia="zh-CN" w:bidi="ar"/>
          <w14:textFill>
            <w14:solidFill>
              <w14:schemeClr w14:val="tx1"/>
            </w14:solidFill>
          </w14:textFill>
        </w:rPr>
        <w:t>一、项目名称：</w:t>
      </w:r>
      <w:r>
        <w:rPr>
          <w:rFonts w:hint="eastAsia" w:ascii="方正仿宋_GBK" w:hAnsi="宋体" w:eastAsia="方正仿宋_GBK"/>
          <w:color w:val="auto"/>
          <w:sz w:val="28"/>
          <w:szCs w:val="28"/>
          <w:lang w:val="en-US" w:eastAsia="zh-CN"/>
        </w:rPr>
        <w:t>2026年“全国药品安全宣传周”——携手共建药品安全防线活动重庆轨道交通9号线环绕数字屏、PIS视频</w:t>
      </w:r>
    </w:p>
    <w:p w14:paraId="056CEA7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405" w:lineRule="atLeast"/>
        <w:ind w:left="0" w:right="0" w:firstLine="555"/>
        <w:textAlignment w:val="baseline"/>
        <w:rPr>
          <w:rFonts w:hint="eastAsia" w:ascii="微软雅黑" w:hAnsi="微软雅黑" w:eastAsia="微软雅黑" w:cs="微软雅黑"/>
          <w:i w:val="0"/>
          <w:iCs w:val="0"/>
          <w:caps w:val="0"/>
          <w:color w:val="000000" w:themeColor="text1"/>
          <w:spacing w:val="0"/>
          <w:sz w:val="21"/>
          <w:szCs w:val="21"/>
          <w14:textFill>
            <w14:solidFill>
              <w14:schemeClr w14:val="tx1"/>
            </w14:solidFill>
          </w14:textFill>
        </w:rPr>
      </w:pPr>
      <w:r>
        <w:rPr>
          <w:rFonts w:hint="eastAsia" w:ascii="方正黑体简体" w:hAnsi="方正黑体简体" w:eastAsia="方正黑体简体" w:cs="方正黑体简体"/>
          <w:i w:val="0"/>
          <w:iCs w:val="0"/>
          <w:caps w:val="0"/>
          <w:color w:val="000000" w:themeColor="text1"/>
          <w:spacing w:val="0"/>
          <w:sz w:val="28"/>
          <w:szCs w:val="28"/>
          <w:shd w:val="clear" w:fill="FFFFFF"/>
          <w:vertAlign w:val="baseline"/>
          <w14:textFill>
            <w14:solidFill>
              <w14:schemeClr w14:val="tx1"/>
            </w14:solidFill>
          </w14:textFill>
        </w:rPr>
        <w:t>二、项目要求</w:t>
      </w:r>
    </w:p>
    <w:p w14:paraId="09D3DFA0">
      <w:pPr>
        <w:adjustRightInd w:val="0"/>
        <w:snapToGrid w:val="0"/>
        <w:spacing w:line="400" w:lineRule="exact"/>
        <w:ind w:firstLine="560" w:firstLineChars="200"/>
        <w:rPr>
          <w:rFonts w:hint="eastAsia" w:ascii="方正仿宋_GBK" w:hAnsi="宋体" w:eastAsia="方正仿宋_GBK"/>
          <w:color w:val="auto"/>
          <w:sz w:val="28"/>
          <w:szCs w:val="28"/>
          <w:lang w:val="en-US" w:eastAsia="zh-CN"/>
        </w:rPr>
      </w:pPr>
      <w:r>
        <w:rPr>
          <w:rFonts w:hint="eastAsia" w:ascii="方正仿宋_GBK" w:hAnsi="宋体" w:eastAsia="方正仿宋_GBK"/>
          <w:color w:val="auto"/>
          <w:sz w:val="28"/>
          <w:szCs w:val="28"/>
          <w:lang w:val="en-US" w:eastAsia="zh-CN"/>
        </w:rPr>
        <w:t>（一）需方提供宣传内容，供应商设计制作成适合在环绕数字屏、PIS视频发布的形式，交需方审定后发布。</w:t>
      </w:r>
    </w:p>
    <w:p w14:paraId="52F8FF84">
      <w:pPr>
        <w:adjustRightInd w:val="0"/>
        <w:snapToGrid w:val="0"/>
        <w:spacing w:line="400" w:lineRule="exact"/>
        <w:ind w:firstLine="560" w:firstLineChars="200"/>
        <w:rPr>
          <w:rFonts w:hint="eastAsia" w:ascii="方正仿宋_GBK" w:hAnsi="宋体" w:eastAsia="方正仿宋_GBK"/>
          <w:color w:val="auto"/>
          <w:sz w:val="28"/>
          <w:szCs w:val="28"/>
          <w:lang w:val="en-US" w:eastAsia="zh-CN"/>
        </w:rPr>
      </w:pPr>
      <w:r>
        <w:rPr>
          <w:rFonts w:hint="eastAsia" w:ascii="方正仿宋_GBK" w:hAnsi="宋体" w:eastAsia="方正仿宋_GBK"/>
          <w:color w:val="auto"/>
          <w:sz w:val="28"/>
          <w:szCs w:val="28"/>
          <w:lang w:val="en-US" w:eastAsia="zh-CN"/>
        </w:rPr>
        <w:t>（二）发布时间：2026年9月2日-9月8日，共1周（如因发布内容设计定稿等原因，按期顺延）；</w:t>
      </w:r>
    </w:p>
    <w:p w14:paraId="59D39ED3">
      <w:pPr>
        <w:adjustRightInd w:val="0"/>
        <w:snapToGrid w:val="0"/>
        <w:spacing w:line="400" w:lineRule="exact"/>
        <w:ind w:firstLine="560" w:firstLineChars="200"/>
        <w:rPr>
          <w:rFonts w:hint="eastAsia" w:ascii="方正仿宋_GBK" w:hAnsi="宋体" w:eastAsia="方正仿宋_GBK"/>
          <w:color w:val="auto"/>
          <w:sz w:val="28"/>
          <w:szCs w:val="28"/>
          <w:lang w:val="en-US" w:eastAsia="zh-CN"/>
        </w:rPr>
      </w:pPr>
      <w:r>
        <w:rPr>
          <w:rFonts w:hint="eastAsia" w:ascii="方正仿宋_GBK" w:hAnsi="宋体" w:eastAsia="方正仿宋_GBK"/>
          <w:color w:val="auto"/>
          <w:sz w:val="28"/>
          <w:szCs w:val="28"/>
          <w:lang w:val="en-US" w:eastAsia="zh-CN"/>
        </w:rPr>
        <w:t>（三）发布地点：观音桥站环绕数字屏，9号线站台站厅；</w:t>
      </w:r>
    </w:p>
    <w:p w14:paraId="51E2C5B4">
      <w:pPr>
        <w:adjustRightInd w:val="0"/>
        <w:snapToGrid w:val="0"/>
        <w:spacing w:line="400" w:lineRule="exact"/>
        <w:ind w:firstLine="560" w:firstLineChars="200"/>
        <w:rPr>
          <w:rFonts w:hint="eastAsia" w:ascii="方正仿宋_GBK" w:hAnsi="宋体" w:eastAsia="方正仿宋_GBK"/>
          <w:color w:val="auto"/>
          <w:sz w:val="28"/>
          <w:szCs w:val="28"/>
          <w:lang w:val="en-US" w:eastAsia="zh-CN"/>
        </w:rPr>
      </w:pPr>
      <w:r>
        <w:rPr>
          <w:rFonts w:hint="eastAsia" w:ascii="方正仿宋_GBK" w:hAnsi="宋体" w:eastAsia="方正仿宋_GBK"/>
          <w:color w:val="auto"/>
          <w:sz w:val="28"/>
          <w:szCs w:val="28"/>
          <w:lang w:val="en-US" w:eastAsia="zh-CN"/>
        </w:rPr>
        <w:t>（四）维护要求：如发生影响广告正常发布的故障，中标供应商应在1日内修复。超过该期限仍未修复的，应根据未修复数量对采购人进行发布数量上的1:1补偿。</w:t>
      </w:r>
    </w:p>
    <w:p w14:paraId="49168651">
      <w:pPr>
        <w:snapToGrid w:val="0"/>
        <w:spacing w:line="500" w:lineRule="exact"/>
        <w:ind w:firstLine="560" w:firstLineChars="200"/>
        <w:rPr>
          <w:rFonts w:hint="eastAsia" w:ascii="方正黑体简体" w:hAnsi="方正黑体简体" w:eastAsia="方正黑体简体" w:cs="方正黑体简体"/>
          <w:bCs/>
          <w:color w:val="auto"/>
          <w:sz w:val="28"/>
          <w:szCs w:val="28"/>
          <w:lang w:val="en-US" w:eastAsia="zh-CN"/>
        </w:rPr>
      </w:pPr>
      <w:r>
        <w:rPr>
          <w:rFonts w:hint="eastAsia" w:ascii="方正黑体简体" w:hAnsi="方正黑体简体" w:eastAsia="方正黑体简体" w:cs="方正黑体简体"/>
          <w:bCs/>
          <w:color w:val="auto"/>
          <w:sz w:val="28"/>
          <w:szCs w:val="28"/>
          <w:lang w:val="en-US" w:eastAsia="zh-CN"/>
        </w:rPr>
        <w:t>三、项目最高限价：4万元。</w:t>
      </w:r>
    </w:p>
    <w:p w14:paraId="4E9F9C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405" w:lineRule="atLeast"/>
        <w:ind w:left="0" w:right="0" w:firstLine="555"/>
        <w:textAlignment w:val="baseline"/>
        <w:rPr>
          <w:rFonts w:hint="eastAsia" w:ascii="微软雅黑" w:hAnsi="微软雅黑" w:eastAsia="微软雅黑" w:cs="微软雅黑"/>
          <w:i w:val="0"/>
          <w:iCs w:val="0"/>
          <w:caps w:val="0"/>
          <w:color w:val="333333"/>
          <w:spacing w:val="0"/>
          <w:sz w:val="21"/>
          <w:szCs w:val="21"/>
        </w:rPr>
      </w:pPr>
      <w:r>
        <w:rPr>
          <w:rFonts w:hint="eastAsia" w:ascii="方正仿宋_GBK" w:hAnsi="方正仿宋_GBK" w:eastAsia="方正仿宋_GBK" w:cs="方正仿宋_GBK"/>
          <w:i w:val="0"/>
          <w:iCs w:val="0"/>
          <w:caps w:val="0"/>
          <w:color w:val="333333"/>
          <w:spacing w:val="0"/>
          <w:sz w:val="28"/>
          <w:szCs w:val="28"/>
          <w:shd w:val="clear" w:fill="FFFFFF"/>
          <w:vertAlign w:val="baseline"/>
        </w:rPr>
        <w:t> </w:t>
      </w:r>
      <w:r>
        <w:rPr>
          <w:rFonts w:hint="eastAsia" w:ascii="方正黑体_GBK" w:hAnsi="方正黑体_GBK" w:eastAsia="方正黑体_GBK" w:cs="方正黑体_GBK"/>
          <w:i w:val="0"/>
          <w:iCs w:val="0"/>
          <w:caps w:val="0"/>
          <w:color w:val="333333"/>
          <w:spacing w:val="0"/>
          <w:sz w:val="31"/>
          <w:szCs w:val="31"/>
          <w:shd w:val="clear" w:fill="FFFFFF"/>
          <w:vertAlign w:val="baseline"/>
        </w:rPr>
        <w:t>   </w:t>
      </w:r>
    </w:p>
    <w:p w14:paraId="3760CC67">
      <w:pPr>
        <w:adjustRightInd w:val="0"/>
        <w:snapToGrid w:val="0"/>
        <w:spacing w:line="400" w:lineRule="exact"/>
        <w:jc w:val="center"/>
        <w:rPr>
          <w:rFonts w:hint="eastAsia" w:ascii="方正黑体_GBK" w:hAnsi="宋体" w:eastAsia="方正黑体_GBK"/>
          <w:color w:val="auto"/>
          <w:sz w:val="32"/>
          <w:szCs w:val="32"/>
        </w:rPr>
      </w:pPr>
      <w:r>
        <w:rPr>
          <w:rFonts w:hint="eastAsia" w:ascii="方正黑体_GBK" w:hAnsi="宋体" w:eastAsia="方正黑体_GBK"/>
          <w:color w:val="auto"/>
          <w:sz w:val="32"/>
          <w:szCs w:val="32"/>
        </w:rPr>
        <w:t xml:space="preserve"> 第二篇    采购须知</w:t>
      </w:r>
    </w:p>
    <w:p w14:paraId="71E37DA3">
      <w:pPr>
        <w:snapToGrid w:val="0"/>
        <w:spacing w:line="500" w:lineRule="exact"/>
        <w:ind w:firstLine="560" w:firstLineChars="200"/>
        <w:rPr>
          <w:rFonts w:hint="eastAsia" w:ascii="方正黑体简体" w:hAnsi="方正黑体简体" w:eastAsia="方正黑体简体" w:cs="方正黑体简体"/>
          <w:bCs/>
          <w:color w:val="auto"/>
          <w:sz w:val="28"/>
          <w:szCs w:val="28"/>
        </w:rPr>
      </w:pPr>
      <w:r>
        <w:rPr>
          <w:rFonts w:hint="eastAsia" w:ascii="方正黑体简体" w:hAnsi="方正黑体简体" w:eastAsia="方正黑体简体" w:cs="方正黑体简体"/>
          <w:bCs/>
          <w:color w:val="auto"/>
          <w:sz w:val="28"/>
          <w:szCs w:val="28"/>
        </w:rPr>
        <w:t>一、供应商要求</w:t>
      </w:r>
    </w:p>
    <w:p w14:paraId="6E59950B">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（一）具有独立承担民事责任的能力；</w:t>
      </w:r>
    </w:p>
    <w:p w14:paraId="77865A0B">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（二）具有良好的商业信誉和健全的财务会计制度；</w:t>
      </w:r>
    </w:p>
    <w:p w14:paraId="5A640822">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（三）有依法缴纳税收和社会保障资金的良好记录；</w:t>
      </w:r>
    </w:p>
    <w:p w14:paraId="2BB7C97C">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（四）具有履行合同所必须的设备和专业技术能力；</w:t>
      </w:r>
    </w:p>
    <w:p w14:paraId="765745FE">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（五）具有相应的经营范围；</w:t>
      </w:r>
    </w:p>
    <w:p w14:paraId="18C252A7">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（六）具有本地服务能力。</w:t>
      </w:r>
    </w:p>
    <w:p w14:paraId="2C15C612">
      <w:pPr>
        <w:adjustRightInd w:val="0"/>
        <w:snapToGrid w:val="0"/>
        <w:spacing w:line="400" w:lineRule="exact"/>
        <w:ind w:firstLine="560" w:firstLineChars="200"/>
        <w:rPr>
          <w:rFonts w:hint="eastAsia" w:ascii="方正黑体简体" w:hAnsi="方正黑体简体" w:eastAsia="方正黑体简体" w:cs="方正黑体简体"/>
          <w:bCs/>
          <w:color w:val="auto"/>
          <w:sz w:val="28"/>
          <w:szCs w:val="28"/>
        </w:rPr>
      </w:pPr>
      <w:bookmarkStart w:id="3" w:name="_Toc317154772"/>
      <w:r>
        <w:rPr>
          <w:rFonts w:hint="eastAsia" w:ascii="方正黑体简体" w:hAnsi="方正黑体简体" w:eastAsia="方正黑体简体" w:cs="方正黑体简体"/>
          <w:bCs/>
          <w:color w:val="auto"/>
          <w:sz w:val="28"/>
          <w:szCs w:val="28"/>
        </w:rPr>
        <w:t>二、报价要求</w:t>
      </w:r>
      <w:bookmarkEnd w:id="3"/>
    </w:p>
    <w:p w14:paraId="5D59492E">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（一）供应商提交的竞标文件由以下内容组成：</w:t>
      </w:r>
    </w:p>
    <w:p w14:paraId="160CA393">
      <w:pPr>
        <w:adjustRightInd w:val="0"/>
        <w:snapToGrid w:val="0"/>
        <w:spacing w:line="400" w:lineRule="exact"/>
        <w:ind w:firstLine="548" w:firstLineChars="196"/>
        <w:rPr>
          <w:rFonts w:hint="eastAsia" w:ascii="方正仿宋_GBK" w:hAnsi="宋体" w:eastAsia="方正仿宋_GBK"/>
          <w:color w:val="auto"/>
          <w:sz w:val="28"/>
          <w:szCs w:val="28"/>
        </w:rPr>
      </w:pPr>
      <w:r>
        <w:rPr>
          <w:rFonts w:hint="eastAsia" w:ascii="方正仿宋_GBK" w:hAnsi="宋体" w:eastAsia="方正仿宋_GBK"/>
          <w:color w:val="auto"/>
          <w:sz w:val="28"/>
          <w:szCs w:val="28"/>
        </w:rPr>
        <w:t>1、报价函（明确供货周期、服务条款、优惠条件等）；</w:t>
      </w:r>
    </w:p>
    <w:p w14:paraId="34FFEB0C">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2、相关的资质证明等其他资料，包括但不限于：</w:t>
      </w:r>
    </w:p>
    <w:p w14:paraId="4992E0A4">
      <w:pPr>
        <w:adjustRightInd w:val="0"/>
        <w:snapToGrid w:val="0"/>
        <w:spacing w:line="400" w:lineRule="exact"/>
        <w:ind w:firstLine="980" w:firstLineChars="35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（1）营业执照、税务登记证、法定代表人身份证等复印件；</w:t>
      </w:r>
    </w:p>
    <w:p w14:paraId="61758153">
      <w:pPr>
        <w:adjustRightInd w:val="0"/>
        <w:snapToGrid w:val="0"/>
        <w:spacing w:line="400" w:lineRule="exact"/>
        <w:ind w:firstLine="980" w:firstLineChars="35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（2）法定代表人身份证明，或授权代表委托书及被授权人身份证复印件；</w:t>
      </w:r>
    </w:p>
    <w:p w14:paraId="0E528623">
      <w:pPr>
        <w:widowControl/>
        <w:adjustRightInd w:val="0"/>
        <w:snapToGrid w:val="0"/>
        <w:spacing w:line="400" w:lineRule="exact"/>
        <w:ind w:firstLine="560" w:firstLineChars="200"/>
        <w:rPr>
          <w:rFonts w:hint="eastAsia" w:ascii="方正仿宋_GBK" w:hAnsi="宋体" w:eastAsia="方正仿宋_GBK"/>
          <w:color w:val="auto"/>
          <w:sz w:val="28"/>
          <w:szCs w:val="28"/>
        </w:rPr>
      </w:pPr>
      <w:bookmarkStart w:id="4" w:name="_Toc317154773"/>
      <w:bookmarkStart w:id="5" w:name="_Toc12789063"/>
      <w:r>
        <w:rPr>
          <w:rFonts w:hint="eastAsia" w:ascii="方正仿宋_GBK" w:hAnsi="宋体" w:eastAsia="方正仿宋_GBK"/>
          <w:color w:val="auto"/>
          <w:sz w:val="28"/>
          <w:szCs w:val="28"/>
        </w:rPr>
        <w:t>（二）本项目报价以人民币报价，各报价人只对本项目作完整唯一报价（包含完成本次合同约定内容的所有费用，采购人不再另行支付其他任何费用）。</w:t>
      </w:r>
      <w:bookmarkEnd w:id="4"/>
      <w:bookmarkEnd w:id="5"/>
    </w:p>
    <w:p w14:paraId="528D7930">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（三）报价文件不得有任一项应答低于采购文件要求；所有报价均被视为报价的供应商承诺所提供的商品内容、质量和服务完全满足本采购文件的所有要求，如果中标，在签订合同时和合同执行过程中全面体现。</w:t>
      </w:r>
    </w:p>
    <w:p w14:paraId="220CDF38">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3、响应文件要求</w:t>
      </w:r>
    </w:p>
    <w:p w14:paraId="3C69EF79">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（1）响应文件正本一份，副本一份。副本可为正本的复印件。</w:t>
      </w:r>
    </w:p>
    <w:p w14:paraId="1889071B">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（2）响应文件正本由报价人法人或授权代表签字，加盖报价人公章。</w:t>
      </w:r>
    </w:p>
    <w:p w14:paraId="71B2BA1D">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（3）响应文件的正本、副本均采用信封分别密封。信封上注明项目名称、报价人名称和地址、“正本”、“副本”字样及“不准提前启封”字样。信封封口处须用白封条加以覆盖密封并加盖报价人公章。</w:t>
      </w:r>
    </w:p>
    <w:p w14:paraId="0899568E">
      <w:pPr>
        <w:adjustRightInd w:val="0"/>
        <w:snapToGrid w:val="0"/>
        <w:spacing w:line="400" w:lineRule="exact"/>
        <w:ind w:firstLine="560" w:firstLineChars="200"/>
        <w:rPr>
          <w:rFonts w:hint="eastAsia" w:ascii="方正黑体简体" w:hAnsi="方正黑体简体" w:eastAsia="方正黑体简体" w:cs="方正黑体简体"/>
          <w:bCs/>
          <w:color w:val="auto"/>
          <w:sz w:val="28"/>
          <w:szCs w:val="28"/>
        </w:rPr>
      </w:pPr>
      <w:r>
        <w:rPr>
          <w:rFonts w:hint="eastAsia" w:ascii="方正黑体简体" w:hAnsi="方正黑体简体" w:eastAsia="方正黑体简体" w:cs="方正黑体简体"/>
          <w:bCs/>
          <w:color w:val="auto"/>
          <w:sz w:val="28"/>
          <w:szCs w:val="28"/>
        </w:rPr>
        <w:t>三、成交原则</w:t>
      </w:r>
    </w:p>
    <w:p w14:paraId="71859D24">
      <w:pPr>
        <w:adjustRightInd w:val="0"/>
        <w:snapToGrid w:val="0"/>
        <w:spacing w:line="400" w:lineRule="exact"/>
        <w:ind w:firstLine="560" w:firstLineChars="200"/>
        <w:jc w:val="left"/>
        <w:rPr>
          <w:rFonts w:hint="eastAsia" w:ascii="方正仿宋_GBK" w:hAnsi="宋体" w:eastAsia="方正仿宋_GBK"/>
          <w:color w:val="auto"/>
          <w:sz w:val="28"/>
          <w:szCs w:val="28"/>
        </w:rPr>
      </w:pPr>
      <w:r>
        <w:rPr>
          <w:rFonts w:hint="eastAsia" w:ascii="方正仿宋_GBK" w:hAnsi="宋体" w:eastAsia="方正仿宋_GBK"/>
          <w:color w:val="auto"/>
          <w:sz w:val="28"/>
          <w:szCs w:val="28"/>
        </w:rPr>
        <w:t>（一）评审办法</w:t>
      </w:r>
    </w:p>
    <w:p w14:paraId="0A4556D4">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采购小组依据采购文件的要求，对供应商的响应文件进行细致审阅和评定，依据供应商最终报价和最终的实施方案以及商务承诺等综合因素确定是否选择单一来源供应商作为最终成交供应商。</w:t>
      </w:r>
    </w:p>
    <w:p w14:paraId="3FFCD2B9">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（二）评审依据：</w:t>
      </w:r>
    </w:p>
    <w:p w14:paraId="6D217674">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采购小组可以根据项目实际情况进行分析论证，要求投标人现场进行多次报价，以达到公平合理的成交价格。采购成交价以谈判协商一致最终承诺报价为准。</w:t>
      </w:r>
    </w:p>
    <w:p w14:paraId="3FAF2E90">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（三）出现以下情况之一的，作为采购失败处理，应重新组织采购：</w:t>
      </w:r>
    </w:p>
    <w:p w14:paraId="24CAB88B">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（1）响应文件不符合规定格式和要求的；</w:t>
      </w:r>
    </w:p>
    <w:p w14:paraId="1A5FA891">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（2）响应文件的报价超过了最高限价，采购人不能支付的；</w:t>
      </w:r>
    </w:p>
    <w:p w14:paraId="276F1CF7">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（3）因不可抗力导致重大变故，采购任务取消的；</w:t>
      </w:r>
    </w:p>
    <w:p w14:paraId="03E232E7">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（4）最终实施方案明显不符合国家有关规定要求的；</w:t>
      </w:r>
    </w:p>
    <w:p w14:paraId="1B9696BC">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（5）最低报价竞标人的报价明显低于可能的范围，采购领导小组一致认为不能保证质量要求的；</w:t>
      </w:r>
    </w:p>
    <w:p w14:paraId="16974AF8">
      <w:pPr>
        <w:adjustRightInd w:val="0"/>
        <w:snapToGrid w:val="0"/>
        <w:spacing w:line="400" w:lineRule="exact"/>
        <w:ind w:firstLine="560" w:firstLineChars="200"/>
        <w:rPr>
          <w:rFonts w:hint="eastAsia" w:ascii="方正黑体简体" w:hAnsi="方正黑体简体" w:eastAsia="方正黑体简体" w:cs="方正黑体简体"/>
          <w:bCs/>
          <w:color w:val="auto"/>
          <w:sz w:val="28"/>
          <w:szCs w:val="28"/>
        </w:rPr>
      </w:pPr>
      <w:bookmarkStart w:id="6" w:name="_Toc317154764"/>
      <w:bookmarkStart w:id="7" w:name="_Toc102227321"/>
      <w:r>
        <w:rPr>
          <w:rFonts w:hint="eastAsia" w:ascii="方正黑体简体" w:hAnsi="方正黑体简体" w:eastAsia="方正黑体简体" w:cs="方正黑体简体"/>
          <w:bCs/>
          <w:color w:val="auto"/>
          <w:sz w:val="28"/>
          <w:szCs w:val="28"/>
        </w:rPr>
        <w:t>四、成交通知</w:t>
      </w:r>
      <w:bookmarkEnd w:id="6"/>
      <w:bookmarkEnd w:id="7"/>
      <w:r>
        <w:rPr>
          <w:rFonts w:hint="eastAsia" w:ascii="方正黑体简体" w:hAnsi="方正黑体简体" w:eastAsia="方正黑体简体" w:cs="方正黑体简体"/>
          <w:bCs/>
          <w:color w:val="auto"/>
          <w:sz w:val="28"/>
          <w:szCs w:val="28"/>
        </w:rPr>
        <w:t>和合同签订</w:t>
      </w:r>
    </w:p>
    <w:p w14:paraId="62C3CC1F">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（一）采购结束后，重庆市药品不良反应监测中心以书面形式发出《成交通知书》，通知成交供应商。</w:t>
      </w:r>
    </w:p>
    <w:p w14:paraId="0A8CD44C">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二）成交供应商按《成交通知书》指定时间、地点与采购人签订采购合同；采购文件、成交供应商的响应文件等，均为签订合同的依据，如成交供应商放弃成交项目或在签订合同时擅自改变成交状态的，重庆市药品不良反应监测中心有权取消其成交资格。</w:t>
      </w:r>
    </w:p>
    <w:p w14:paraId="481AE318">
      <w:pPr>
        <w:adjustRightInd w:val="0"/>
        <w:snapToGrid w:val="0"/>
        <w:spacing w:line="400" w:lineRule="exact"/>
        <w:ind w:firstLine="560" w:firstLineChars="200"/>
        <w:rPr>
          <w:rFonts w:hint="eastAsia" w:ascii="方正仿宋_GBK" w:hAnsi="宋体" w:eastAsia="方正仿宋_GBK"/>
          <w:color w:val="auto"/>
          <w:sz w:val="28"/>
          <w:szCs w:val="28"/>
        </w:rPr>
      </w:pPr>
    </w:p>
    <w:p w14:paraId="1E13BA02">
      <w:pPr>
        <w:adjustRightInd w:val="0"/>
        <w:snapToGrid w:val="0"/>
        <w:spacing w:line="400" w:lineRule="exact"/>
        <w:ind w:firstLine="420" w:firstLineChars="200"/>
        <w:rPr>
          <w:rFonts w:hint="eastAsia"/>
          <w:color w:val="auto"/>
        </w:rPr>
      </w:pPr>
    </w:p>
    <w:p w14:paraId="6EC9C09D">
      <w:pPr>
        <w:adjustRightInd w:val="0"/>
        <w:snapToGrid w:val="0"/>
        <w:spacing w:line="400" w:lineRule="exact"/>
        <w:jc w:val="center"/>
        <w:rPr>
          <w:rFonts w:hint="eastAsia" w:ascii="方正黑体_GBK" w:hAnsi="宋体" w:eastAsia="方正黑体_GBK"/>
          <w:color w:val="auto"/>
          <w:sz w:val="32"/>
          <w:szCs w:val="32"/>
        </w:rPr>
      </w:pPr>
      <w:r>
        <w:rPr>
          <w:rFonts w:hint="eastAsia" w:ascii="方正黑体_GBK" w:hAnsi="宋体" w:eastAsia="方正黑体_GBK"/>
          <w:color w:val="auto"/>
          <w:sz w:val="32"/>
          <w:szCs w:val="32"/>
        </w:rPr>
        <w:t>第三篇   商务要求</w:t>
      </w:r>
    </w:p>
    <w:p w14:paraId="40002B8C">
      <w:pPr>
        <w:adjustRightInd w:val="0"/>
        <w:snapToGrid w:val="0"/>
        <w:spacing w:line="400" w:lineRule="exact"/>
        <w:ind w:firstLine="560" w:firstLineChars="200"/>
        <w:rPr>
          <w:rFonts w:hint="eastAsia" w:ascii="方正黑体简体" w:hAnsi="方正黑体简体" w:eastAsia="方正黑体简体" w:cs="方正黑体简体"/>
          <w:bCs/>
          <w:color w:val="auto"/>
          <w:sz w:val="28"/>
          <w:szCs w:val="28"/>
        </w:rPr>
      </w:pPr>
      <w:bookmarkStart w:id="8" w:name="_Toc12789061"/>
      <w:bookmarkStart w:id="9" w:name="_Toc317154770"/>
      <w:r>
        <w:rPr>
          <w:rFonts w:hint="eastAsia" w:ascii="方正黑体简体" w:hAnsi="方正黑体简体" w:eastAsia="方正黑体简体" w:cs="方正黑体简体"/>
          <w:bCs/>
          <w:color w:val="auto"/>
          <w:sz w:val="28"/>
          <w:szCs w:val="28"/>
        </w:rPr>
        <w:t>一、</w:t>
      </w:r>
      <w:bookmarkEnd w:id="8"/>
      <w:r>
        <w:rPr>
          <w:rFonts w:hint="eastAsia" w:ascii="方正黑体简体" w:hAnsi="方正黑体简体" w:eastAsia="方正黑体简体" w:cs="方正黑体简体"/>
          <w:bCs/>
          <w:color w:val="auto"/>
          <w:sz w:val="28"/>
          <w:szCs w:val="28"/>
        </w:rPr>
        <w:t>交货时间：</w:t>
      </w:r>
      <w:bookmarkEnd w:id="9"/>
    </w:p>
    <w:p w14:paraId="0647485E">
      <w:pPr>
        <w:widowControl/>
        <w:adjustRightInd w:val="0"/>
        <w:snapToGrid w:val="0"/>
        <w:spacing w:line="400" w:lineRule="exact"/>
        <w:ind w:left="-94" w:leftChars="-45" w:right="-189" w:rightChars="-90"/>
        <w:rPr>
          <w:rFonts w:hint="eastAsia" w:ascii="方正仿宋_GBK" w:eastAsia="方正仿宋_GBK"/>
          <w:color w:val="auto"/>
          <w:sz w:val="28"/>
          <w:szCs w:val="28"/>
        </w:rPr>
      </w:pPr>
      <w:r>
        <w:rPr>
          <w:rFonts w:hint="eastAsia" w:ascii="方正仿宋_GBK" w:eastAsia="方正仿宋_GBK"/>
          <w:color w:val="auto"/>
          <w:sz w:val="28"/>
          <w:szCs w:val="28"/>
        </w:rPr>
        <w:t xml:space="preserve">    </w:t>
      </w:r>
      <w:r>
        <w:rPr>
          <w:rFonts w:hint="eastAsia" w:ascii="方正仿宋_GBK" w:hAnsi="宋体" w:eastAsia="方正仿宋_GBK"/>
          <w:color w:val="auto"/>
          <w:sz w:val="28"/>
          <w:szCs w:val="28"/>
        </w:rPr>
        <w:t>重庆市药品不良反应监测中心指定时间</w:t>
      </w:r>
      <w:r>
        <w:rPr>
          <w:rFonts w:hint="eastAsia" w:ascii="方正仿宋_GBK" w:eastAsia="方正仿宋_GBK"/>
          <w:color w:val="auto"/>
          <w:sz w:val="28"/>
          <w:szCs w:val="28"/>
        </w:rPr>
        <w:t>。</w:t>
      </w:r>
    </w:p>
    <w:p w14:paraId="55E6A3CF">
      <w:pPr>
        <w:adjustRightInd w:val="0"/>
        <w:snapToGrid w:val="0"/>
        <w:spacing w:line="400" w:lineRule="exact"/>
        <w:ind w:firstLine="560" w:firstLineChars="200"/>
        <w:rPr>
          <w:rFonts w:hint="eastAsia" w:ascii="方正黑体简体" w:hAnsi="方正黑体简体" w:eastAsia="方正黑体简体" w:cs="方正黑体简体"/>
          <w:bCs/>
          <w:color w:val="auto"/>
          <w:sz w:val="28"/>
          <w:szCs w:val="28"/>
        </w:rPr>
      </w:pPr>
      <w:bookmarkStart w:id="10" w:name="_Toc317154771"/>
      <w:r>
        <w:rPr>
          <w:rFonts w:hint="eastAsia" w:ascii="方正黑体简体" w:hAnsi="方正黑体简体" w:eastAsia="方正黑体简体" w:cs="方正黑体简体"/>
          <w:bCs/>
          <w:color w:val="auto"/>
          <w:sz w:val="28"/>
          <w:szCs w:val="28"/>
        </w:rPr>
        <w:t>二、交货地点：</w:t>
      </w:r>
      <w:bookmarkEnd w:id="10"/>
    </w:p>
    <w:p w14:paraId="43578054">
      <w:pPr>
        <w:widowControl/>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重庆市药品不良反应监测中心指定地点。</w:t>
      </w:r>
    </w:p>
    <w:p w14:paraId="09946B32">
      <w:pPr>
        <w:adjustRightInd w:val="0"/>
        <w:snapToGrid w:val="0"/>
        <w:spacing w:line="400" w:lineRule="exact"/>
        <w:ind w:firstLine="560" w:firstLineChars="200"/>
        <w:rPr>
          <w:rFonts w:hint="eastAsia" w:ascii="方正黑体简体" w:hAnsi="方正黑体简体" w:eastAsia="方正黑体简体" w:cs="方正黑体简体"/>
          <w:bCs/>
          <w:color w:val="auto"/>
          <w:sz w:val="28"/>
          <w:szCs w:val="28"/>
        </w:rPr>
      </w:pPr>
      <w:r>
        <w:rPr>
          <w:rFonts w:hint="eastAsia" w:ascii="方正黑体简体" w:hAnsi="方正黑体简体" w:eastAsia="方正黑体简体" w:cs="方正黑体简体"/>
          <w:bCs/>
          <w:color w:val="auto"/>
          <w:sz w:val="28"/>
          <w:szCs w:val="28"/>
        </w:rPr>
        <w:t>三、验收方式：</w:t>
      </w:r>
    </w:p>
    <w:p w14:paraId="660AB439">
      <w:pPr>
        <w:widowControl/>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以合同约定事项完成，并经重庆市药品不良反应监测中心审核验收通过作为最终验收。</w:t>
      </w:r>
    </w:p>
    <w:p w14:paraId="0F2ADAC0">
      <w:pPr>
        <w:adjustRightInd w:val="0"/>
        <w:snapToGrid w:val="0"/>
        <w:spacing w:line="400" w:lineRule="exact"/>
        <w:ind w:firstLine="560" w:firstLineChars="200"/>
        <w:rPr>
          <w:rFonts w:hint="eastAsia" w:ascii="方正黑体简体" w:hAnsi="方正黑体简体" w:eastAsia="方正黑体简体" w:cs="方正黑体简体"/>
          <w:bCs/>
          <w:color w:val="auto"/>
          <w:sz w:val="28"/>
          <w:szCs w:val="28"/>
        </w:rPr>
      </w:pPr>
      <w:bookmarkStart w:id="11" w:name="_Toc267320051"/>
      <w:bookmarkStart w:id="12" w:name="_Toc317154775"/>
      <w:bookmarkStart w:id="13" w:name="_Toc12789068"/>
      <w:r>
        <w:rPr>
          <w:rFonts w:hint="eastAsia" w:ascii="方正黑体简体" w:hAnsi="方正黑体简体" w:eastAsia="方正黑体简体" w:cs="方正黑体简体"/>
          <w:bCs/>
          <w:color w:val="auto"/>
          <w:sz w:val="28"/>
          <w:szCs w:val="28"/>
        </w:rPr>
        <w:t>四、付款方式</w:t>
      </w:r>
      <w:bookmarkEnd w:id="11"/>
      <w:bookmarkEnd w:id="12"/>
    </w:p>
    <w:p w14:paraId="2CFC276E">
      <w:pPr>
        <w:adjustRightInd w:val="0"/>
        <w:snapToGrid w:val="0"/>
        <w:spacing w:line="400" w:lineRule="exact"/>
        <w:ind w:firstLine="560" w:firstLineChars="200"/>
        <w:outlineLvl w:val="0"/>
        <w:rPr>
          <w:rFonts w:hint="eastAsia" w:ascii="方正仿宋_GBK" w:hAnsi="宋体" w:eastAsia="方正仿宋_GBK"/>
          <w:color w:val="auto"/>
          <w:sz w:val="28"/>
          <w:szCs w:val="28"/>
        </w:rPr>
      </w:pPr>
      <w:bookmarkStart w:id="14" w:name="_Toc317154776"/>
      <w:bookmarkStart w:id="15" w:name="_Toc299362080"/>
      <w:r>
        <w:rPr>
          <w:rFonts w:hint="eastAsia" w:ascii="方正仿宋_GBK" w:hAnsi="宋体" w:eastAsia="方正仿宋_GBK"/>
          <w:color w:val="auto"/>
          <w:sz w:val="28"/>
          <w:szCs w:val="28"/>
        </w:rPr>
        <w:t>1、成交供应商按采购合同交货后，采购人验收合格后出具项目验收报告。</w:t>
      </w:r>
    </w:p>
    <w:p w14:paraId="7076E0A9">
      <w:pPr>
        <w:adjustRightInd w:val="0"/>
        <w:snapToGrid w:val="0"/>
        <w:spacing w:line="400" w:lineRule="exact"/>
        <w:ind w:firstLine="560" w:firstLineChars="200"/>
        <w:outlineLvl w:val="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2、成交供应商向采购人出具重庆市增值税普通发票。</w:t>
      </w:r>
    </w:p>
    <w:p w14:paraId="297A20F3">
      <w:pPr>
        <w:adjustRightInd w:val="0"/>
        <w:snapToGrid w:val="0"/>
        <w:spacing w:line="400" w:lineRule="exact"/>
        <w:ind w:firstLine="560" w:firstLineChars="20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3、重庆市药品不良反应监测中心对成交供应商提交的付款资料审核通过后，15个工作日内以转账方式</w:t>
      </w:r>
      <w:bookmarkStart w:id="16" w:name="_Toc267320052"/>
      <w:r>
        <w:rPr>
          <w:rFonts w:hint="eastAsia" w:ascii="方正仿宋_GBK" w:hAnsi="宋体" w:eastAsia="方正仿宋_GBK"/>
          <w:color w:val="auto"/>
          <w:sz w:val="28"/>
          <w:szCs w:val="28"/>
        </w:rPr>
        <w:t>一次性支付合同约定金额</w:t>
      </w:r>
      <w:bookmarkEnd w:id="13"/>
      <w:bookmarkEnd w:id="14"/>
      <w:bookmarkEnd w:id="15"/>
      <w:bookmarkEnd w:id="16"/>
      <w:r>
        <w:rPr>
          <w:rFonts w:hint="eastAsia" w:ascii="方正仿宋_GBK" w:hAnsi="宋体" w:eastAsia="方正仿宋_GBK"/>
          <w:color w:val="auto"/>
          <w:sz w:val="28"/>
          <w:szCs w:val="28"/>
        </w:rPr>
        <w:t>。</w:t>
      </w:r>
      <w:bookmarkStart w:id="17" w:name="_Toc317154763"/>
    </w:p>
    <w:bookmarkEnd w:id="17"/>
    <w:p w14:paraId="369D0D37"/>
    <w:p w14:paraId="3D01EF6F"/>
    <w:p w14:paraId="71F2CD59">
      <w:pPr>
        <w:rPr>
          <w:rFonts w:hint="default" w:eastAsiaTheme="minorEastAsia"/>
          <w:lang w:val="en-US" w:eastAsia="zh-CN"/>
        </w:rPr>
      </w:pPr>
      <w:bookmarkStart w:id="18" w:name="_GoBack"/>
      <w:bookmarkEnd w:id="1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方正楷体简体">
    <w:altName w:val="楷体_GB2312"/>
    <w:panose1 w:val="02010601030101010101"/>
    <w:charset w:val="86"/>
    <w:family w:val="auto"/>
    <w:pitch w:val="default"/>
    <w:sig w:usb0="00000000" w:usb1="00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E118F5"/>
    <w:rsid w:val="18E118F5"/>
    <w:rsid w:val="209B76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2026-08-20T03:14:00Z</dcterms:created>
  <dcterms:modified xsi:type="dcterms:W3CDTF">2026-08-20T03:15:10Z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32795B2D7C844C71A577CD4F944FC325_11</vt:lpwstr>
  </property>
  <property fmtid="{D5CDD505-2E9C-101B-9397-08002B2CF9AE}" pid="4" name="KSOTemplateDocerSaveRecord">
    <vt:lpwstr>eyJoZGlkIjoiNjFkMDA3OTUwOTI0MTA3MDI4NTZmNDc2OTg4YWNjOTUiLCJ1c2VySWQiOiI2MzM4ODQ5MzEifQ==</vt:lpwstr>
  </property>
</Properties>
</file>